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7F2F47" w14:textId="77777777" w:rsidR="004546F8" w:rsidRPr="001F1B3F" w:rsidRDefault="00B35D4B" w:rsidP="00B35D4B">
      <w:pPr>
        <w:jc w:val="right"/>
        <w:rPr>
          <w:rFonts w:ascii="Noa LT Pro Light" w:hAnsi="Noa LT Pro Light"/>
          <w:sz w:val="36"/>
        </w:rPr>
      </w:pPr>
      <w:r w:rsidRPr="001F1B3F">
        <w:rPr>
          <w:rFonts w:ascii="Noa LT Pro Light" w:hAnsi="Noa LT Pro Light"/>
          <w:noProof/>
          <w:sz w:val="36"/>
          <w:lang w:eastAsia="nl-BE"/>
        </w:rPr>
        <w:drawing>
          <wp:inline distT="0" distB="0" distL="0" distR="0" wp14:anchorId="506AFAE8" wp14:editId="33287DAF">
            <wp:extent cx="2893695" cy="1182421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WERP_RVB_201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9177" cy="1188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58B9C" w14:textId="696D458C" w:rsidR="00B35D4B" w:rsidRPr="001F1B3F" w:rsidRDefault="005E4CB4" w:rsidP="000B037E">
      <w:pPr>
        <w:jc w:val="center"/>
        <w:outlineLvl w:val="0"/>
        <w:rPr>
          <w:rFonts w:ascii="Noa LT Pro Light" w:hAnsi="Noa LT Pro Light" w:cs="Arial"/>
          <w:sz w:val="36"/>
        </w:rPr>
      </w:pPr>
      <w:r w:rsidRPr="001F1B3F">
        <w:rPr>
          <w:rFonts w:ascii="Noa LT Pro Light" w:hAnsi="Noa LT Pro Light" w:cs="Arial"/>
          <w:sz w:val="36"/>
        </w:rPr>
        <w:t>PRESS RELEASE</w:t>
      </w:r>
    </w:p>
    <w:p w14:paraId="50A94305" w14:textId="77777777" w:rsidR="00C9616C" w:rsidRPr="001F1B3F" w:rsidRDefault="00C9616C" w:rsidP="005E4CB4">
      <w:pPr>
        <w:rPr>
          <w:rFonts w:ascii="Noa LT Pro Light" w:hAnsi="Noa LT Pro Light" w:cs="Arial"/>
          <w:b/>
          <w:sz w:val="28"/>
          <w:szCs w:val="28"/>
        </w:rPr>
      </w:pPr>
    </w:p>
    <w:p w14:paraId="598952A6" w14:textId="12013344" w:rsidR="005E4CB4" w:rsidRPr="001F1B3F" w:rsidRDefault="005E4CB4" w:rsidP="00E06A5C">
      <w:pPr>
        <w:jc w:val="center"/>
        <w:rPr>
          <w:rFonts w:ascii="Noa LT Pro Light" w:hAnsi="Noa LT Pro Light" w:cs="Arial"/>
          <w:b/>
          <w:sz w:val="28"/>
          <w:szCs w:val="28"/>
        </w:rPr>
      </w:pPr>
      <w:r w:rsidRPr="001F1B3F">
        <w:rPr>
          <w:rFonts w:ascii="Noa LT Pro Light" w:hAnsi="Noa LT Pro Light" w:cs="Arial"/>
          <w:b/>
          <w:sz w:val="28"/>
          <w:szCs w:val="28"/>
        </w:rPr>
        <w:t>Antwerp Airport announces satisfactory year results 2017</w:t>
      </w:r>
    </w:p>
    <w:p w14:paraId="325DB9AF" w14:textId="77777777" w:rsidR="00C9616C" w:rsidRPr="001F1B3F" w:rsidRDefault="00C9616C" w:rsidP="005E4CB4">
      <w:pPr>
        <w:rPr>
          <w:rFonts w:ascii="Noa LT Pro Light" w:hAnsi="Noa LT Pro Light" w:cs="Arial"/>
          <w:b/>
        </w:rPr>
      </w:pPr>
    </w:p>
    <w:p w14:paraId="043495C1" w14:textId="7D6473DF" w:rsidR="005E4CB4" w:rsidRPr="001F1B3F" w:rsidRDefault="005E4CB4" w:rsidP="005E4CB4">
      <w:pPr>
        <w:rPr>
          <w:rFonts w:ascii="Noa LT Pro Light" w:hAnsi="Noa LT Pro Light" w:cs="Arial"/>
          <w:b/>
        </w:rPr>
      </w:pPr>
      <w:r w:rsidRPr="001F1B3F">
        <w:rPr>
          <w:rFonts w:ascii="Noa LT Pro Light" w:hAnsi="Noa LT Pro Light" w:cs="Arial"/>
          <w:b/>
        </w:rPr>
        <w:t xml:space="preserve">Antwerp, 5th January 2018 – During the year 2017 Antwerp Airport welcomed 273.167 </w:t>
      </w:r>
      <w:r w:rsidR="00380C23" w:rsidRPr="001F1B3F">
        <w:rPr>
          <w:rFonts w:ascii="Noa LT Pro Light" w:hAnsi="Noa LT Pro Light" w:cs="Arial"/>
          <w:b/>
        </w:rPr>
        <w:t xml:space="preserve"> passengers and</w:t>
      </w:r>
      <w:r w:rsidRPr="001F1B3F">
        <w:rPr>
          <w:rFonts w:ascii="Noa LT Pro Light" w:hAnsi="Noa LT Pro Light" w:cs="Arial"/>
          <w:b/>
        </w:rPr>
        <w:t xml:space="preserve"> registered </w:t>
      </w:r>
      <w:r w:rsidR="00380C23" w:rsidRPr="001F1B3F">
        <w:rPr>
          <w:rFonts w:ascii="Noa LT Pro Light" w:hAnsi="Noa LT Pro Light" w:cs="Arial"/>
          <w:b/>
        </w:rPr>
        <w:t xml:space="preserve">37.511 </w:t>
      </w:r>
      <w:r w:rsidRPr="001F1B3F">
        <w:rPr>
          <w:rFonts w:ascii="Noa LT Pro Light" w:hAnsi="Noa LT Pro Light" w:cs="Arial"/>
          <w:b/>
        </w:rPr>
        <w:t xml:space="preserve"> flight moveme</w:t>
      </w:r>
      <w:r w:rsidR="00380C23" w:rsidRPr="001F1B3F">
        <w:rPr>
          <w:rFonts w:ascii="Noa LT Pro Light" w:hAnsi="Noa LT Pro Light" w:cs="Arial"/>
          <w:b/>
        </w:rPr>
        <w:t>nts</w:t>
      </w:r>
      <w:r w:rsidRPr="001F1B3F">
        <w:rPr>
          <w:rFonts w:ascii="Noa LT Pro Light" w:hAnsi="Noa LT Pro Light" w:cs="Arial"/>
          <w:b/>
        </w:rPr>
        <w:t>.</w:t>
      </w:r>
    </w:p>
    <w:p w14:paraId="484460A1" w14:textId="4DF151A7" w:rsidR="00380C23" w:rsidRPr="001F1B3F" w:rsidRDefault="005E4CB4" w:rsidP="00C9616C">
      <w:pPr>
        <w:spacing w:line="240" w:lineRule="auto"/>
        <w:rPr>
          <w:rFonts w:ascii="Noa LT Pro Light" w:hAnsi="Noa LT Pro Light" w:cs="Arial"/>
          <w:sz w:val="20"/>
        </w:rPr>
      </w:pPr>
      <w:r w:rsidRPr="001F1B3F">
        <w:rPr>
          <w:rFonts w:ascii="Noa LT Pro Light" w:hAnsi="Noa LT Pro Light" w:cs="Arial"/>
          <w:b/>
        </w:rPr>
        <w:t>Results</w:t>
      </w:r>
      <w:r w:rsidRPr="001F1B3F">
        <w:rPr>
          <w:rFonts w:ascii="Noa LT Pro Light" w:hAnsi="Noa LT Pro Light" w:cs="Arial"/>
          <w:b/>
        </w:rPr>
        <w:br/>
      </w:r>
      <w:r w:rsidR="00380C23" w:rsidRPr="001F1B3F">
        <w:rPr>
          <w:rFonts w:ascii="Noa LT Pro Light" w:hAnsi="Noa LT Pro Light" w:cs="Arial"/>
          <w:sz w:val="20"/>
        </w:rPr>
        <w:t xml:space="preserve">In </w:t>
      </w:r>
      <w:r w:rsidRPr="001F1B3F">
        <w:rPr>
          <w:rFonts w:ascii="Noa LT Pro Light" w:hAnsi="Noa LT Pro Light" w:cs="Arial"/>
          <w:sz w:val="20"/>
        </w:rPr>
        <w:t xml:space="preserve">2017 </w:t>
      </w:r>
      <w:r w:rsidR="00380C23" w:rsidRPr="001F1B3F">
        <w:rPr>
          <w:rFonts w:ascii="Noa LT Pro Light" w:hAnsi="Noa LT Pro Light" w:cs="Arial"/>
          <w:sz w:val="20"/>
        </w:rPr>
        <w:t xml:space="preserve">the airport welcomed </w:t>
      </w:r>
      <w:r w:rsidR="00380C23" w:rsidRPr="001F1B3F">
        <w:rPr>
          <w:rFonts w:ascii="Noa LT Pro Light" w:hAnsi="Noa LT Pro Light" w:cs="Arial"/>
          <w:sz w:val="20"/>
          <w:szCs w:val="20"/>
        </w:rPr>
        <w:t xml:space="preserve">273.167 passengers, a slight decrease of 1% </w:t>
      </w:r>
      <w:r w:rsidRPr="001F1B3F">
        <w:rPr>
          <w:rFonts w:ascii="Noa LT Pro Light" w:hAnsi="Noa LT Pro Light" w:cs="Arial"/>
          <w:sz w:val="20"/>
        </w:rPr>
        <w:t>compared to 2016</w:t>
      </w:r>
      <w:r w:rsidR="00380C23" w:rsidRPr="001F1B3F">
        <w:rPr>
          <w:rFonts w:ascii="Noa LT Pro Light" w:hAnsi="Noa LT Pro Light" w:cs="Arial"/>
          <w:sz w:val="20"/>
        </w:rPr>
        <w:t xml:space="preserve"> when the airport registered </w:t>
      </w:r>
      <w:r w:rsidR="00380C23" w:rsidRPr="001F1B3F">
        <w:rPr>
          <w:rFonts w:ascii="Noa LT Pro Light" w:hAnsi="Noa LT Pro Light" w:cs="Arial"/>
          <w:sz w:val="20"/>
          <w:szCs w:val="20"/>
        </w:rPr>
        <w:t xml:space="preserve">276.523 passengers. </w:t>
      </w:r>
      <w:r w:rsidR="00380C23" w:rsidRPr="001F1B3F">
        <w:rPr>
          <w:rFonts w:ascii="Noa LT Pro Light" w:hAnsi="Noa LT Pro Light" w:cs="Arial"/>
          <w:sz w:val="20"/>
        </w:rPr>
        <w:t xml:space="preserve">Several elements had an impact on the results. In 2016 20.000 additional </w:t>
      </w:r>
      <w:r w:rsidRPr="001F1B3F">
        <w:rPr>
          <w:rFonts w:ascii="Noa LT Pro Light" w:hAnsi="Noa LT Pro Light" w:cs="Arial"/>
          <w:sz w:val="20"/>
        </w:rPr>
        <w:t xml:space="preserve">passengers </w:t>
      </w:r>
      <w:r w:rsidR="00380C23" w:rsidRPr="001F1B3F">
        <w:rPr>
          <w:rFonts w:ascii="Noa LT Pro Light" w:hAnsi="Noa LT Pro Light" w:cs="Arial"/>
          <w:sz w:val="20"/>
        </w:rPr>
        <w:t xml:space="preserve">were </w:t>
      </w:r>
      <w:r w:rsidRPr="001F1B3F">
        <w:rPr>
          <w:rFonts w:ascii="Noa LT Pro Light" w:hAnsi="Noa LT Pro Light" w:cs="Arial"/>
          <w:sz w:val="20"/>
        </w:rPr>
        <w:t>unable to fly from Brussels Zaventem</w:t>
      </w:r>
      <w:r w:rsidR="00380C23" w:rsidRPr="001F1B3F">
        <w:rPr>
          <w:rFonts w:ascii="Noa LT Pro Light" w:hAnsi="Noa LT Pro Light" w:cs="Arial"/>
          <w:sz w:val="20"/>
        </w:rPr>
        <w:t xml:space="preserve"> following the Terrorist Attacks and flew in March and April from Antwerp Airport. </w:t>
      </w:r>
    </w:p>
    <w:p w14:paraId="7061D2B8" w14:textId="62FB663C" w:rsidR="005E4CB4" w:rsidRPr="001F1B3F" w:rsidRDefault="005E4CB4" w:rsidP="00C9616C">
      <w:pPr>
        <w:spacing w:line="240" w:lineRule="auto"/>
        <w:rPr>
          <w:rFonts w:ascii="Noa LT Pro Light" w:hAnsi="Noa LT Pro Light" w:cs="Arial"/>
          <w:sz w:val="20"/>
        </w:rPr>
      </w:pPr>
      <w:r w:rsidRPr="001F1B3F">
        <w:rPr>
          <w:rFonts w:ascii="Noa LT Pro Light" w:hAnsi="Noa LT Pro Light" w:cs="Arial"/>
          <w:sz w:val="20"/>
        </w:rPr>
        <w:t xml:space="preserve">When excluding these passengers from </w:t>
      </w:r>
      <w:r w:rsidR="00380C23" w:rsidRPr="001F1B3F">
        <w:rPr>
          <w:rFonts w:ascii="Noa LT Pro Light" w:hAnsi="Noa LT Pro Light" w:cs="Arial"/>
          <w:sz w:val="20"/>
        </w:rPr>
        <w:t xml:space="preserve">the total result, Antwerp </w:t>
      </w:r>
      <w:r w:rsidRPr="001F1B3F">
        <w:rPr>
          <w:rFonts w:ascii="Noa LT Pro Light" w:hAnsi="Noa LT Pro Light" w:cs="Arial"/>
          <w:sz w:val="20"/>
        </w:rPr>
        <w:t xml:space="preserve">Airport would achieve in 2017 </w:t>
      </w:r>
      <w:r w:rsidR="00380C23" w:rsidRPr="001F1B3F">
        <w:rPr>
          <w:rFonts w:ascii="Noa LT Pro Light" w:hAnsi="Noa LT Pro Light" w:cs="Arial"/>
          <w:sz w:val="20"/>
        </w:rPr>
        <w:t>an increase of 6</w:t>
      </w:r>
      <w:r w:rsidRPr="001F1B3F">
        <w:rPr>
          <w:rFonts w:ascii="Noa LT Pro Light" w:hAnsi="Noa LT Pro Light" w:cs="Arial"/>
          <w:sz w:val="20"/>
        </w:rPr>
        <w:t xml:space="preserve">% compared to 2016.  </w:t>
      </w:r>
      <w:r w:rsidR="00380C23" w:rsidRPr="001F1B3F">
        <w:rPr>
          <w:rFonts w:ascii="Noa LT Pro Light" w:hAnsi="Noa LT Pro Light" w:cs="Arial"/>
          <w:sz w:val="20"/>
        </w:rPr>
        <w:t>Uncertainties at CityJet and VLM also cause</w:t>
      </w:r>
      <w:r w:rsidR="00216456" w:rsidRPr="001F1B3F">
        <w:rPr>
          <w:rFonts w:ascii="Noa LT Pro Light" w:hAnsi="Noa LT Pro Light" w:cs="Arial"/>
          <w:sz w:val="20"/>
        </w:rPr>
        <w:t>d</w:t>
      </w:r>
      <w:r w:rsidR="00380C23" w:rsidRPr="001F1B3F">
        <w:rPr>
          <w:rFonts w:ascii="Noa LT Pro Light" w:hAnsi="Noa LT Pro Light" w:cs="Arial"/>
          <w:sz w:val="20"/>
        </w:rPr>
        <w:t xml:space="preserve"> less passengers on flights to London City</w:t>
      </w:r>
      <w:r w:rsidR="00216456" w:rsidRPr="001F1B3F">
        <w:rPr>
          <w:rFonts w:ascii="Noa LT Pro Light" w:hAnsi="Noa LT Pro Light" w:cs="Arial"/>
          <w:sz w:val="20"/>
        </w:rPr>
        <w:t>.</w:t>
      </w:r>
    </w:p>
    <w:p w14:paraId="284D4475" w14:textId="087CE57F" w:rsidR="00216456" w:rsidRPr="001F1B3F" w:rsidRDefault="00216456" w:rsidP="00C9616C">
      <w:pPr>
        <w:spacing w:line="240" w:lineRule="auto"/>
        <w:rPr>
          <w:rFonts w:ascii="Noa LT Pro Light" w:hAnsi="Noa LT Pro Light" w:cs="Arial"/>
          <w:sz w:val="20"/>
        </w:rPr>
      </w:pPr>
      <w:r w:rsidRPr="001F1B3F">
        <w:rPr>
          <w:rFonts w:ascii="Noa LT Pro Light" w:hAnsi="Noa LT Pro Light" w:cs="Arial"/>
          <w:sz w:val="20"/>
        </w:rPr>
        <w:t xml:space="preserve">The number of flight movements decreased by 9% with a total of </w:t>
      </w:r>
      <w:r w:rsidRPr="001F1B3F">
        <w:rPr>
          <w:rFonts w:ascii="Noa LT Pro Light" w:hAnsi="Noa LT Pro Light" w:cs="Arial"/>
          <w:sz w:val="20"/>
          <w:szCs w:val="20"/>
        </w:rPr>
        <w:t>37.511 movements in 2017 compared to 41.403 movements during 2016.</w:t>
      </w:r>
    </w:p>
    <w:p w14:paraId="4DDDCE0C" w14:textId="6461ADF6" w:rsidR="005E4CB4" w:rsidRPr="001F1B3F" w:rsidRDefault="005E4CB4" w:rsidP="00C9616C">
      <w:pPr>
        <w:rPr>
          <w:rFonts w:ascii="Noa LT Pro Light" w:hAnsi="Noa LT Pro Light" w:cs="Arial"/>
          <w:sz w:val="20"/>
        </w:rPr>
      </w:pPr>
      <w:r w:rsidRPr="001F1B3F">
        <w:rPr>
          <w:rFonts w:ascii="Noa LT Pro Light" w:hAnsi="Noa LT Pro Light" w:cs="Arial"/>
          <w:b/>
        </w:rPr>
        <w:t>Future</w:t>
      </w:r>
      <w:r w:rsidRPr="001F1B3F">
        <w:rPr>
          <w:rFonts w:ascii="Noa LT Pro Light" w:hAnsi="Noa LT Pro Light" w:cs="Arial"/>
          <w:sz w:val="20"/>
        </w:rPr>
        <w:br/>
      </w:r>
      <w:r w:rsidR="00216456" w:rsidRPr="001F1B3F">
        <w:rPr>
          <w:rFonts w:ascii="Noa LT Pro Light" w:hAnsi="Noa LT Pro Light" w:cs="Arial"/>
          <w:sz w:val="20"/>
        </w:rPr>
        <w:t>At the end of 2017, TUI launched fl</w:t>
      </w:r>
      <w:r w:rsidR="001B5590" w:rsidRPr="001F1B3F">
        <w:rPr>
          <w:rFonts w:ascii="Noa LT Pro Light" w:hAnsi="Noa LT Pro Light" w:cs="Arial"/>
          <w:sz w:val="20"/>
        </w:rPr>
        <w:t>ights to Innsbruck. A very popular de</w:t>
      </w:r>
      <w:r w:rsidR="00C9616C" w:rsidRPr="001F1B3F">
        <w:rPr>
          <w:rFonts w:ascii="Noa LT Pro Light" w:hAnsi="Noa LT Pro Light" w:cs="Arial"/>
          <w:sz w:val="20"/>
        </w:rPr>
        <w:t>stination for those who enjoy</w:t>
      </w:r>
      <w:r w:rsidR="001B5590" w:rsidRPr="001F1B3F">
        <w:rPr>
          <w:rFonts w:ascii="Noa LT Pro Light" w:hAnsi="Noa LT Pro Light" w:cs="Arial"/>
          <w:sz w:val="20"/>
        </w:rPr>
        <w:t xml:space="preserve"> a short ski break or simply the Austrian snow. VLM will launch on January 22nd, two daily flights Antwerp-Zürich. </w:t>
      </w:r>
      <w:r w:rsidR="00C9616C" w:rsidRPr="001F1B3F">
        <w:rPr>
          <w:rFonts w:ascii="Noa LT Pro Light" w:hAnsi="Noa LT Pro Light" w:cs="Arial"/>
          <w:sz w:val="20"/>
        </w:rPr>
        <w:t xml:space="preserve">Later this year the airport welcomes Flybe with flights to London Southend and the newest TUI route to Florence. </w:t>
      </w:r>
    </w:p>
    <w:p w14:paraId="51367CA6" w14:textId="106D2FA1" w:rsidR="005E4CB4" w:rsidRPr="001F1B3F" w:rsidRDefault="005E4CB4" w:rsidP="005E4CB4">
      <w:pPr>
        <w:rPr>
          <w:rFonts w:ascii="Noa LT Pro Light" w:hAnsi="Noa LT Pro Light" w:cs="Arial"/>
          <w:sz w:val="20"/>
        </w:rPr>
      </w:pPr>
      <w:r w:rsidRPr="001F1B3F">
        <w:rPr>
          <w:rFonts w:ascii="Noa LT Pro Light" w:hAnsi="Noa LT Pro Light" w:cs="Arial"/>
          <w:sz w:val="20"/>
        </w:rPr>
        <w:t xml:space="preserve">Marcel Buelens, CEO of Ostend-Bruges and Antwerp Airport said: “Passengers </w:t>
      </w:r>
      <w:r w:rsidR="00C9616C" w:rsidRPr="001F1B3F">
        <w:rPr>
          <w:rFonts w:ascii="Noa LT Pro Light" w:hAnsi="Noa LT Pro Light" w:cs="Arial"/>
          <w:sz w:val="20"/>
        </w:rPr>
        <w:t xml:space="preserve">clearly </w:t>
      </w:r>
      <w:r w:rsidRPr="001F1B3F">
        <w:rPr>
          <w:rFonts w:ascii="Noa LT Pro Light" w:hAnsi="Noa LT Pro Light" w:cs="Arial"/>
          <w:sz w:val="20"/>
        </w:rPr>
        <w:t>prefer the advantages of flying from their regional airport</w:t>
      </w:r>
      <w:r w:rsidR="00C9616C" w:rsidRPr="001F1B3F">
        <w:rPr>
          <w:rFonts w:ascii="Noa LT Pro Light" w:hAnsi="Noa LT Pro Light" w:cs="Arial"/>
          <w:sz w:val="20"/>
        </w:rPr>
        <w:t>s</w:t>
      </w:r>
      <w:r w:rsidRPr="001F1B3F">
        <w:rPr>
          <w:rFonts w:ascii="Noa LT Pro Light" w:hAnsi="Noa LT Pro Light" w:cs="Arial"/>
          <w:sz w:val="20"/>
        </w:rPr>
        <w:t xml:space="preserve"> in Flanders</w:t>
      </w:r>
      <w:r w:rsidR="00C9616C" w:rsidRPr="001F1B3F">
        <w:rPr>
          <w:rFonts w:ascii="Noa LT Pro Light" w:hAnsi="Noa LT Pro Light" w:cs="Arial"/>
          <w:sz w:val="20"/>
        </w:rPr>
        <w:t xml:space="preserve">. In 2018 we will continue our recent developments and embrace new challenges. We will </w:t>
      </w:r>
      <w:r w:rsidR="00AD208A" w:rsidRPr="001F1B3F">
        <w:rPr>
          <w:rFonts w:ascii="Noa LT Pro Light" w:hAnsi="Noa LT Pro Light" w:cs="Arial"/>
          <w:sz w:val="20"/>
        </w:rPr>
        <w:t xml:space="preserve">also </w:t>
      </w:r>
      <w:r w:rsidR="00C9616C" w:rsidRPr="001F1B3F">
        <w:rPr>
          <w:rFonts w:ascii="Noa LT Pro Light" w:hAnsi="Noa LT Pro Light" w:cs="Arial"/>
          <w:sz w:val="20"/>
        </w:rPr>
        <w:t xml:space="preserve">focuss on accessibility and brand awareness abroad in order to attrackt further incoming passengers.” </w:t>
      </w:r>
    </w:p>
    <w:p w14:paraId="10D545DB" w14:textId="77777777" w:rsidR="00C65520" w:rsidRPr="001F1B3F" w:rsidRDefault="00C65520" w:rsidP="001904FA">
      <w:pPr>
        <w:rPr>
          <w:rFonts w:ascii="Noa LT Pro Light" w:hAnsi="Noa LT Pro Light"/>
        </w:rPr>
      </w:pPr>
    </w:p>
    <w:p w14:paraId="60E59FEC" w14:textId="77777777" w:rsidR="00DA5AC8" w:rsidRPr="001F1B3F" w:rsidRDefault="00D51499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b/>
          <w:iCs/>
          <w:color w:val="343434"/>
          <w:szCs w:val="20"/>
        </w:rPr>
      </w:pPr>
      <w:r w:rsidRPr="001F1B3F">
        <w:rPr>
          <w:rFonts w:ascii="Noa LT Pro Light" w:hAnsi="Noa LT Pro Light"/>
          <w:noProof/>
          <w:lang w:eastAsia="nl-BE"/>
        </w:rPr>
        <w:drawing>
          <wp:inline distT="0" distB="0" distL="0" distR="0" wp14:anchorId="336A6F87" wp14:editId="1545566D">
            <wp:extent cx="2705100" cy="14573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1546A0" w:rsidRPr="001F1B3F">
        <w:rPr>
          <w:rFonts w:ascii="Noa LT Pro Light" w:hAnsi="Noa LT Pro Light" w:cs="Helvetica"/>
          <w:b/>
          <w:iCs/>
          <w:color w:val="343434"/>
          <w:szCs w:val="20"/>
        </w:rPr>
        <w:t xml:space="preserve"> </w:t>
      </w:r>
      <w:r w:rsidR="001546A0" w:rsidRPr="001F1B3F">
        <w:rPr>
          <w:rFonts w:ascii="Noa LT Pro Light" w:hAnsi="Noa LT Pro Light"/>
          <w:noProof/>
          <w:lang w:eastAsia="nl-BE"/>
        </w:rPr>
        <w:drawing>
          <wp:inline distT="0" distB="0" distL="0" distR="0" wp14:anchorId="201158E9" wp14:editId="548C96CB">
            <wp:extent cx="2790825" cy="1466850"/>
            <wp:effectExtent l="0" t="0" r="9525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43517DE" w14:textId="77777777" w:rsidR="001546A0" w:rsidRPr="001F1B3F" w:rsidRDefault="001546A0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b/>
          <w:iCs/>
          <w:color w:val="343434"/>
          <w:szCs w:val="20"/>
        </w:rPr>
      </w:pPr>
      <w:r w:rsidRPr="001F1B3F">
        <w:rPr>
          <w:rFonts w:ascii="Noa LT Pro Light" w:hAnsi="Noa LT Pro Light" w:cs="Helvetica"/>
          <w:b/>
          <w:iCs/>
          <w:noProof/>
          <w:color w:val="343434"/>
          <w:szCs w:val="20"/>
          <w:lang w:eastAsia="nl-BE"/>
        </w:rPr>
        <w:lastRenderedPageBreak/>
        <w:drawing>
          <wp:inline distT="0" distB="0" distL="0" distR="0" wp14:anchorId="3081D3C5" wp14:editId="7FA6073A">
            <wp:extent cx="2725420" cy="1676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2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F1B3F">
        <w:rPr>
          <w:rFonts w:ascii="Noa LT Pro Light" w:hAnsi="Noa LT Pro Light" w:cs="Helvetica"/>
          <w:b/>
          <w:iCs/>
          <w:color w:val="343434"/>
          <w:szCs w:val="20"/>
        </w:rPr>
        <w:t xml:space="preserve"> </w:t>
      </w:r>
      <w:r w:rsidRPr="001F1B3F">
        <w:rPr>
          <w:rFonts w:ascii="Noa LT Pro Light" w:hAnsi="Noa LT Pro Light" w:cs="Helvetica"/>
          <w:b/>
          <w:iCs/>
          <w:noProof/>
          <w:color w:val="343434"/>
          <w:szCs w:val="20"/>
          <w:lang w:eastAsia="nl-BE"/>
        </w:rPr>
        <w:drawing>
          <wp:inline distT="0" distB="0" distL="0" distR="0" wp14:anchorId="1F703408" wp14:editId="2E88E967">
            <wp:extent cx="2831653" cy="1684655"/>
            <wp:effectExtent l="0" t="0" r="698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116" cy="168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19882" w14:textId="77777777" w:rsidR="003C7FBA" w:rsidRPr="001F1B3F" w:rsidRDefault="003C7FBA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b/>
          <w:iCs/>
          <w:color w:val="343434"/>
          <w:szCs w:val="20"/>
        </w:rPr>
      </w:pPr>
    </w:p>
    <w:p w14:paraId="60A48C8A" w14:textId="54C53591" w:rsidR="00D51499" w:rsidRPr="001F1B3F" w:rsidRDefault="00C9616C" w:rsidP="000B037E">
      <w:pPr>
        <w:widowControl w:val="0"/>
        <w:autoSpaceDE w:val="0"/>
        <w:autoSpaceDN w:val="0"/>
        <w:adjustRightInd w:val="0"/>
        <w:outlineLvl w:val="0"/>
        <w:rPr>
          <w:rFonts w:ascii="Noa LT Pro Light" w:hAnsi="Noa LT Pro Light" w:cs="Helvetica"/>
          <w:b/>
          <w:iCs/>
          <w:color w:val="343434"/>
          <w:szCs w:val="20"/>
        </w:rPr>
      </w:pPr>
      <w:r w:rsidRPr="001F1B3F">
        <w:rPr>
          <w:rFonts w:ascii="Noa LT Pro Light" w:hAnsi="Noa LT Pro Light" w:cs="Helvetica"/>
          <w:b/>
          <w:iCs/>
          <w:color w:val="343434"/>
          <w:szCs w:val="20"/>
        </w:rPr>
        <w:t>Stats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E5E81" w:rsidRPr="001F1B3F" w14:paraId="650D3565" w14:textId="77777777" w:rsidTr="003E5E81">
        <w:tc>
          <w:tcPr>
            <w:tcW w:w="2265" w:type="dxa"/>
            <w:shd w:val="clear" w:color="auto" w:fill="D0CECE" w:themeFill="background2" w:themeFillShade="E6"/>
          </w:tcPr>
          <w:p w14:paraId="23B077C1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</w:p>
        </w:tc>
        <w:tc>
          <w:tcPr>
            <w:tcW w:w="2265" w:type="dxa"/>
            <w:shd w:val="clear" w:color="auto" w:fill="D0CECE" w:themeFill="background2" w:themeFillShade="E6"/>
          </w:tcPr>
          <w:p w14:paraId="43EEF6FD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2016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41861383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2017</w:t>
            </w:r>
          </w:p>
        </w:tc>
        <w:tc>
          <w:tcPr>
            <w:tcW w:w="2266" w:type="dxa"/>
            <w:shd w:val="clear" w:color="auto" w:fill="D0CECE" w:themeFill="background2" w:themeFillShade="E6"/>
          </w:tcPr>
          <w:p w14:paraId="4FA76CFE" w14:textId="0495695B" w:rsidR="003E5E81" w:rsidRPr="001F1B3F" w:rsidRDefault="00C9616C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Difference</w:t>
            </w:r>
            <w:r w:rsidR="003E5E81"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 xml:space="preserve"> %</w:t>
            </w:r>
          </w:p>
        </w:tc>
      </w:tr>
      <w:tr w:rsidR="003E5E81" w:rsidRPr="001F1B3F" w14:paraId="08B8DAD8" w14:textId="77777777" w:rsidTr="003E5E81">
        <w:tc>
          <w:tcPr>
            <w:tcW w:w="2265" w:type="dxa"/>
          </w:tcPr>
          <w:p w14:paraId="46C65DD3" w14:textId="4AFBF67C" w:rsidR="003E5E81" w:rsidRPr="001F1B3F" w:rsidRDefault="00C9616C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passeng</w:t>
            </w:r>
            <w:r w:rsidR="003E5E81"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ers</w:t>
            </w:r>
          </w:p>
        </w:tc>
        <w:tc>
          <w:tcPr>
            <w:tcW w:w="2265" w:type="dxa"/>
          </w:tcPr>
          <w:p w14:paraId="430A4457" w14:textId="77777777" w:rsidR="003E5E81" w:rsidRPr="001F1B3F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 xml:space="preserve">276 </w:t>
            </w:r>
            <w:r w:rsidR="005B3708"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523</w:t>
            </w:r>
          </w:p>
        </w:tc>
        <w:tc>
          <w:tcPr>
            <w:tcW w:w="2266" w:type="dxa"/>
          </w:tcPr>
          <w:p w14:paraId="7BEC8B87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273 167</w:t>
            </w:r>
          </w:p>
        </w:tc>
        <w:tc>
          <w:tcPr>
            <w:tcW w:w="2266" w:type="dxa"/>
          </w:tcPr>
          <w:p w14:paraId="3CB1B6A6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-1%</w:t>
            </w:r>
          </w:p>
        </w:tc>
      </w:tr>
      <w:tr w:rsidR="005B3708" w:rsidRPr="001F1B3F" w14:paraId="2BBEA3E4" w14:textId="77777777" w:rsidTr="003E5E81">
        <w:tc>
          <w:tcPr>
            <w:tcW w:w="2265" w:type="dxa"/>
          </w:tcPr>
          <w:p w14:paraId="36B05075" w14:textId="118A8DAC" w:rsidR="005B3708" w:rsidRPr="001F1B3F" w:rsidRDefault="00C9616C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  <w:t>Passeng</w:t>
            </w:r>
            <w:r w:rsidR="005B3708" w:rsidRPr="001F1B3F"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  <w:t>ers *</w:t>
            </w:r>
          </w:p>
        </w:tc>
        <w:tc>
          <w:tcPr>
            <w:tcW w:w="2265" w:type="dxa"/>
          </w:tcPr>
          <w:p w14:paraId="250B76FE" w14:textId="77777777" w:rsidR="005B3708" w:rsidRPr="001F1B3F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  <w:t>256 640</w:t>
            </w:r>
          </w:p>
        </w:tc>
        <w:tc>
          <w:tcPr>
            <w:tcW w:w="2266" w:type="dxa"/>
          </w:tcPr>
          <w:p w14:paraId="43E0A39F" w14:textId="77777777" w:rsidR="005B3708" w:rsidRPr="001F1B3F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  <w:t>273 167</w:t>
            </w:r>
          </w:p>
        </w:tc>
        <w:tc>
          <w:tcPr>
            <w:tcW w:w="2266" w:type="dxa"/>
          </w:tcPr>
          <w:p w14:paraId="1BF1F131" w14:textId="77777777" w:rsidR="005B3708" w:rsidRPr="001F1B3F" w:rsidRDefault="005B3708" w:rsidP="005B370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/>
                <w:iCs/>
                <w:color w:val="343434"/>
                <w:sz w:val="20"/>
                <w:szCs w:val="20"/>
              </w:rPr>
              <w:t>+6%</w:t>
            </w:r>
          </w:p>
        </w:tc>
      </w:tr>
      <w:tr w:rsidR="003E5E81" w:rsidRPr="001F1B3F" w14:paraId="31CF9562" w14:textId="77777777" w:rsidTr="003E5E81">
        <w:tc>
          <w:tcPr>
            <w:tcW w:w="2265" w:type="dxa"/>
          </w:tcPr>
          <w:p w14:paraId="4BA2396B" w14:textId="6213B40E" w:rsidR="003E5E81" w:rsidRPr="001F1B3F" w:rsidRDefault="00C9616C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Movements</w:t>
            </w:r>
          </w:p>
        </w:tc>
        <w:tc>
          <w:tcPr>
            <w:tcW w:w="2265" w:type="dxa"/>
          </w:tcPr>
          <w:p w14:paraId="2981A4AD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41 403</w:t>
            </w:r>
          </w:p>
        </w:tc>
        <w:tc>
          <w:tcPr>
            <w:tcW w:w="2266" w:type="dxa"/>
          </w:tcPr>
          <w:p w14:paraId="6D973C6A" w14:textId="77777777" w:rsidR="003E5E81" w:rsidRPr="001F1B3F" w:rsidRDefault="003E5E81" w:rsidP="005B3708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37 5</w:t>
            </w:r>
            <w:r w:rsidR="005B3708"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11</w:t>
            </w:r>
          </w:p>
        </w:tc>
        <w:tc>
          <w:tcPr>
            <w:tcW w:w="2266" w:type="dxa"/>
          </w:tcPr>
          <w:p w14:paraId="5DF597DB" w14:textId="77777777" w:rsidR="003E5E81" w:rsidRPr="001F1B3F" w:rsidRDefault="003E5E81" w:rsidP="00632D3F">
            <w:pPr>
              <w:widowControl w:val="0"/>
              <w:autoSpaceDE w:val="0"/>
              <w:autoSpaceDN w:val="0"/>
              <w:adjustRightInd w:val="0"/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</w:pPr>
            <w:r w:rsidRPr="001F1B3F">
              <w:rPr>
                <w:rFonts w:ascii="Noa LT Pro Light" w:hAnsi="Noa LT Pro Light" w:cs="Helvetica"/>
                <w:b/>
                <w:iCs/>
                <w:color w:val="343434"/>
                <w:szCs w:val="20"/>
              </w:rPr>
              <w:t>-9%</w:t>
            </w:r>
          </w:p>
        </w:tc>
      </w:tr>
    </w:tbl>
    <w:p w14:paraId="598A480D" w14:textId="77777777" w:rsidR="00C9616C" w:rsidRPr="001F1B3F" w:rsidRDefault="00C9616C" w:rsidP="00C9616C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i/>
          <w:iCs/>
          <w:color w:val="343434"/>
          <w:sz w:val="20"/>
          <w:szCs w:val="20"/>
        </w:rPr>
      </w:pPr>
      <w:r w:rsidRPr="001F1B3F">
        <w:rPr>
          <w:rFonts w:ascii="Noa LT Pro Light" w:hAnsi="Noa LT Pro Light" w:cs="Helvetica"/>
          <w:i/>
          <w:iCs/>
          <w:color w:val="343434"/>
          <w:sz w:val="20"/>
          <w:szCs w:val="20"/>
        </w:rPr>
        <w:t xml:space="preserve">Passengers *: this amount reflects the number of passengers excluding the additional passengers following the terrorist attacks of March 2016. </w:t>
      </w:r>
    </w:p>
    <w:p w14:paraId="4053D52A" w14:textId="6C068DC4" w:rsidR="00C9616C" w:rsidRPr="001F1B3F" w:rsidRDefault="00C9616C" w:rsidP="00C9616C">
      <w:pPr>
        <w:widowControl w:val="0"/>
        <w:autoSpaceDE w:val="0"/>
        <w:autoSpaceDN w:val="0"/>
        <w:adjustRightInd w:val="0"/>
        <w:spacing w:after="0" w:line="276" w:lineRule="auto"/>
        <w:rPr>
          <w:rFonts w:ascii="Noa LT Pro Light" w:hAnsi="Noa LT Pro Light"/>
          <w:b/>
          <w:noProof/>
          <w:sz w:val="20"/>
          <w:szCs w:val="20"/>
          <w:lang w:eastAsia="nl-BE"/>
        </w:rPr>
      </w:pP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>Best month</w:t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September 27.758 passengers</w:t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br/>
        <w:t xml:space="preserve">Most popular destination </w:t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London City</w:t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br/>
        <w:t>Total number of staff</w:t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74</w:t>
      </w:r>
      <w:r w:rsidRPr="001F1B3F">
        <w:rPr>
          <w:rFonts w:ascii="Noa LT Pro Light" w:hAnsi="Noa LT Pro Light"/>
          <w:b/>
          <w:noProof/>
          <w:sz w:val="20"/>
          <w:szCs w:val="20"/>
          <w:lang w:eastAsia="nl-BE"/>
        </w:rPr>
        <w:br/>
        <w:t>Number of airlines</w:t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 xml:space="preserve"> </w:t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3</w:t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br/>
        <w:t>Number of routes</w:t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tab/>
      </w:r>
      <w:r w:rsidR="000B231B">
        <w:rPr>
          <w:rFonts w:ascii="Noa LT Pro Light" w:hAnsi="Noa LT Pro Light"/>
          <w:b/>
          <w:noProof/>
          <w:sz w:val="20"/>
          <w:szCs w:val="20"/>
          <w:lang w:eastAsia="nl-BE"/>
        </w:rPr>
        <w:tab/>
        <w:t>16</w:t>
      </w:r>
      <w:bookmarkStart w:id="0" w:name="_GoBack"/>
      <w:bookmarkEnd w:id="0"/>
    </w:p>
    <w:p w14:paraId="131B1B18" w14:textId="77777777" w:rsidR="005B3708" w:rsidRPr="001F1B3F" w:rsidRDefault="005B3708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i/>
          <w:iCs/>
          <w:color w:val="343434"/>
          <w:sz w:val="20"/>
          <w:szCs w:val="20"/>
        </w:rPr>
      </w:pPr>
    </w:p>
    <w:p w14:paraId="06C3605D" w14:textId="77777777" w:rsidR="00C9616C" w:rsidRDefault="00C9616C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i/>
          <w:iCs/>
          <w:color w:val="343434"/>
          <w:sz w:val="20"/>
          <w:szCs w:val="20"/>
        </w:rPr>
      </w:pPr>
    </w:p>
    <w:p w14:paraId="5D5AC32E" w14:textId="77777777" w:rsidR="008921F6" w:rsidRDefault="008921F6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i/>
          <w:iCs/>
          <w:color w:val="343434"/>
          <w:sz w:val="20"/>
          <w:szCs w:val="20"/>
        </w:rPr>
      </w:pPr>
    </w:p>
    <w:p w14:paraId="7DFEA68E" w14:textId="77777777" w:rsidR="008921F6" w:rsidRPr="001F1B3F" w:rsidRDefault="008921F6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i/>
          <w:iCs/>
          <w:color w:val="343434"/>
          <w:sz w:val="20"/>
          <w:szCs w:val="20"/>
        </w:rPr>
      </w:pPr>
    </w:p>
    <w:p w14:paraId="4293C09D" w14:textId="77777777" w:rsidR="008921F6" w:rsidRDefault="008921F6" w:rsidP="008921F6">
      <w:pPr>
        <w:rPr>
          <w:rFonts w:ascii="Noa LT Pro Light" w:hAnsi="Noa LT Pro Light" w:cs="Helvetica"/>
          <w:i/>
          <w:iCs/>
          <w:color w:val="343434"/>
          <w:sz w:val="20"/>
          <w:szCs w:val="20"/>
        </w:rPr>
      </w:pPr>
    </w:p>
    <w:p w14:paraId="2FE2DDA9" w14:textId="253A246A" w:rsidR="008921F6" w:rsidRDefault="008921F6" w:rsidP="008921F6">
      <w:pPr>
        <w:rPr>
          <w:rFonts w:ascii="Noa LT Pro Light" w:hAnsi="Noa LT Pro Light" w:cs="Arial"/>
          <w:b/>
          <w:iCs/>
          <w:color w:val="343434"/>
          <w:sz w:val="20"/>
          <w:szCs w:val="20"/>
          <w:lang w:val="en-GB"/>
        </w:rPr>
      </w:pPr>
      <w:r>
        <w:rPr>
          <w:rFonts w:ascii="Noa LT Pro Light" w:hAnsi="Noa LT Pro Light" w:cs="Arial"/>
          <w:b/>
          <w:iCs/>
          <w:color w:val="343434"/>
          <w:sz w:val="20"/>
          <w:szCs w:val="20"/>
          <w:lang w:val="en-GB"/>
        </w:rPr>
        <w:t>A</w:t>
      </w:r>
      <w:r w:rsidRPr="00097F4C">
        <w:rPr>
          <w:rFonts w:ascii="Noa LT Pro Light" w:hAnsi="Noa LT Pro Light" w:cs="Arial"/>
          <w:b/>
          <w:iCs/>
          <w:color w:val="343434"/>
          <w:sz w:val="20"/>
          <w:szCs w:val="20"/>
          <w:lang w:val="en-GB"/>
        </w:rPr>
        <w:t xml:space="preserve">bout Antwerp Flanders International Airport </w:t>
      </w:r>
    </w:p>
    <w:p w14:paraId="7658FAB6" w14:textId="4BCA1197" w:rsidR="008921F6" w:rsidRPr="00097F4C" w:rsidRDefault="008921F6" w:rsidP="008921F6">
      <w:pPr>
        <w:rPr>
          <w:rFonts w:ascii="Noa LT Pro Light" w:hAnsi="Noa LT Pro Light" w:cs="Arial"/>
          <w:iCs/>
          <w:color w:val="343434"/>
          <w:sz w:val="20"/>
          <w:szCs w:val="20"/>
          <w:lang w:val="en-GB"/>
        </w:rPr>
      </w:pPr>
      <w:r w:rsidRPr="00097F4C"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>Antwerp International Airport is part of the Egis Group. 1</w:t>
      </w:r>
      <w:r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>6</w:t>
      </w:r>
      <w:r w:rsidRPr="00097F4C"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 xml:space="preserve"> European routes are currently operated by </w:t>
      </w:r>
      <w:r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>3</w:t>
      </w:r>
      <w:r w:rsidRPr="00097F4C"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 xml:space="preserve"> airlines. Besides scheduled flights, the airport caters for private- charter- and training flights.  The regional airport is well known for its speedy check-in, short walking distances and affordable parking. </w:t>
      </w:r>
    </w:p>
    <w:p w14:paraId="5CDE3088" w14:textId="77777777" w:rsidR="008921F6" w:rsidRDefault="008921F6" w:rsidP="008921F6">
      <w:pPr>
        <w:rPr>
          <w:rFonts w:ascii="Noa LT Pro Light" w:hAnsi="Noa LT Pro Light" w:cs="Arial"/>
          <w:iCs/>
          <w:color w:val="343434"/>
          <w:sz w:val="20"/>
          <w:szCs w:val="20"/>
          <w:lang w:val="en-GB"/>
        </w:rPr>
      </w:pPr>
      <w:r w:rsidRPr="008921F6"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>During the year 2017 Antwerp Airport welcomed 273.167  passengers and registered 37.511  flight movements.</w:t>
      </w:r>
    </w:p>
    <w:p w14:paraId="13848B06" w14:textId="52F8A94C" w:rsidR="008921F6" w:rsidRDefault="008921F6" w:rsidP="008921F6">
      <w:pPr>
        <w:rPr>
          <w:rFonts w:ascii="Noa LT Pro Light" w:hAnsi="Noa LT Pro Light" w:cs="Arial"/>
          <w:iCs/>
          <w:color w:val="343434"/>
          <w:sz w:val="20"/>
          <w:szCs w:val="20"/>
          <w:lang w:val="en-GB"/>
        </w:rPr>
      </w:pPr>
      <w:hyperlink r:id="rId10" w:history="1">
        <w:r w:rsidRPr="0098578F">
          <w:rPr>
            <w:rStyle w:val="Hyperlink"/>
            <w:rFonts w:ascii="Noa LT Pro Light" w:hAnsi="Noa LT Pro Light" w:cs="Arial"/>
            <w:iCs/>
            <w:sz w:val="20"/>
            <w:szCs w:val="20"/>
            <w:lang w:val="en-GB"/>
          </w:rPr>
          <w:t>www.antwerpairport.aero</w:t>
        </w:r>
      </w:hyperlink>
      <w:r>
        <w:rPr>
          <w:rFonts w:ascii="Noa LT Pro Light" w:hAnsi="Noa LT Pro Light" w:cs="Arial"/>
          <w:iCs/>
          <w:color w:val="343434"/>
          <w:sz w:val="20"/>
          <w:szCs w:val="20"/>
          <w:lang w:val="en-GB"/>
        </w:rPr>
        <w:t xml:space="preserve"> </w:t>
      </w:r>
    </w:p>
    <w:p w14:paraId="2883A4EC" w14:textId="77777777" w:rsidR="008921F6" w:rsidRPr="00097F4C" w:rsidRDefault="008921F6" w:rsidP="008921F6">
      <w:pPr>
        <w:rPr>
          <w:rStyle w:val="Hyperlink"/>
          <w:rFonts w:ascii="Noa LT Pro Light" w:hAnsi="Noa LT Pro Light" w:cs="Helvetica"/>
          <w:iCs/>
          <w:sz w:val="20"/>
          <w:szCs w:val="20"/>
          <w:u w:color="0B4CB4"/>
          <w:lang w:val="en-US"/>
        </w:rPr>
      </w:pPr>
    </w:p>
    <w:p w14:paraId="073C53C6" w14:textId="0D913AD7" w:rsidR="003E5E81" w:rsidRPr="001F1B3F" w:rsidRDefault="008921F6" w:rsidP="00632D3F">
      <w:pPr>
        <w:widowControl w:val="0"/>
        <w:autoSpaceDE w:val="0"/>
        <w:autoSpaceDN w:val="0"/>
        <w:adjustRightInd w:val="0"/>
        <w:rPr>
          <w:rFonts w:ascii="Noa LT Pro Light" w:hAnsi="Noa LT Pro Light" w:cs="Helvetica"/>
          <w:b/>
          <w:iCs/>
          <w:color w:val="343434"/>
          <w:szCs w:val="20"/>
        </w:rPr>
      </w:pPr>
      <w:r w:rsidRPr="00B22342">
        <w:rPr>
          <w:rFonts w:ascii="Noa LT Pro Light" w:hAnsi="Noa LT Pro Light"/>
          <w:b/>
          <w:noProof/>
          <w:sz w:val="20"/>
          <w:lang w:val="en-US" w:eastAsia="nl-BE"/>
        </w:rPr>
        <w:t>Press contact – Antwerp Flanders International Airport</w:t>
      </w:r>
      <w:r>
        <w:rPr>
          <w:rFonts w:ascii="Noa LT Pro Light" w:hAnsi="Noa LT Pro Light"/>
          <w:noProof/>
          <w:sz w:val="20"/>
          <w:lang w:val="en-US" w:eastAsia="nl-BE"/>
        </w:rPr>
        <w:t xml:space="preserve"> </w:t>
      </w:r>
      <w:r w:rsidRPr="00E01FC8">
        <w:rPr>
          <w:rFonts w:ascii="Noa LT Pro Light" w:hAnsi="Noa LT Pro Light"/>
          <w:noProof/>
          <w:sz w:val="20"/>
          <w:lang w:val="en-US" w:eastAsia="nl-BE"/>
        </w:rPr>
        <w:br/>
        <w:t xml:space="preserve">Catherine Stuyck – </w:t>
      </w:r>
      <w:hyperlink r:id="rId11" w:history="1">
        <w:r w:rsidRPr="00E01FC8">
          <w:rPr>
            <w:rStyle w:val="Hyperlink"/>
            <w:rFonts w:ascii="Noa LT Pro Light" w:hAnsi="Noa LT Pro Light"/>
            <w:noProof/>
            <w:sz w:val="20"/>
            <w:lang w:val="en-US" w:eastAsia="nl-BE"/>
          </w:rPr>
          <w:t>catherine.stuyck@antwerpairport.aero</w:t>
        </w:r>
      </w:hyperlink>
      <w:r w:rsidR="00D53F17" w:rsidRPr="001F1B3F">
        <w:rPr>
          <w:rFonts w:ascii="Noa LT Pro Light" w:hAnsi="Noa LT Pro Light" w:cs="Helvetica"/>
          <w:b/>
          <w:iCs/>
          <w:color w:val="343434"/>
          <w:szCs w:val="20"/>
        </w:rPr>
        <w:tab/>
      </w:r>
      <w:r w:rsidR="00D53F17" w:rsidRPr="001F1B3F">
        <w:rPr>
          <w:rFonts w:ascii="Noa LT Pro Light" w:hAnsi="Noa LT Pro Light" w:cs="Helvetica"/>
          <w:b/>
          <w:iCs/>
          <w:color w:val="343434"/>
          <w:szCs w:val="20"/>
        </w:rPr>
        <w:tab/>
        <w:t xml:space="preserve"> </w:t>
      </w:r>
    </w:p>
    <w:p w14:paraId="04D94391" w14:textId="77777777" w:rsidR="00394515" w:rsidRPr="001F1B3F" w:rsidRDefault="00394515">
      <w:pPr>
        <w:rPr>
          <w:rFonts w:ascii="Noa LT Pro Light" w:hAnsi="Noa LT Pro Light"/>
        </w:rPr>
      </w:pPr>
    </w:p>
    <w:p w14:paraId="3E1540FD" w14:textId="77777777" w:rsidR="004F6748" w:rsidRPr="001F1B3F" w:rsidRDefault="004F6748">
      <w:pPr>
        <w:rPr>
          <w:rFonts w:ascii="Noa LT Pro Light" w:hAnsi="Noa LT Pro Light"/>
        </w:rPr>
      </w:pPr>
    </w:p>
    <w:sectPr w:rsidR="004F6748" w:rsidRPr="001F1B3F" w:rsidSect="003C7F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a LT Pro Light">
    <w:altName w:val="Corbe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2630F"/>
    <w:multiLevelType w:val="hybridMultilevel"/>
    <w:tmpl w:val="EAFA08DA"/>
    <w:lvl w:ilvl="0" w:tplc="09C08132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F8"/>
    <w:rsid w:val="000866CC"/>
    <w:rsid w:val="000B037E"/>
    <w:rsid w:val="000B231B"/>
    <w:rsid w:val="000D1FBD"/>
    <w:rsid w:val="000D3229"/>
    <w:rsid w:val="001473DB"/>
    <w:rsid w:val="001546A0"/>
    <w:rsid w:val="001904FA"/>
    <w:rsid w:val="001B24A6"/>
    <w:rsid w:val="001B5590"/>
    <w:rsid w:val="001F1B3F"/>
    <w:rsid w:val="00216456"/>
    <w:rsid w:val="002F092D"/>
    <w:rsid w:val="00356F8B"/>
    <w:rsid w:val="00380C23"/>
    <w:rsid w:val="00394515"/>
    <w:rsid w:val="003C7FBA"/>
    <w:rsid w:val="003E5E81"/>
    <w:rsid w:val="004546F8"/>
    <w:rsid w:val="00475CD1"/>
    <w:rsid w:val="004F6748"/>
    <w:rsid w:val="005B3708"/>
    <w:rsid w:val="005C58EC"/>
    <w:rsid w:val="005E4CB4"/>
    <w:rsid w:val="00632D3F"/>
    <w:rsid w:val="0067728F"/>
    <w:rsid w:val="006B2590"/>
    <w:rsid w:val="006C2FFA"/>
    <w:rsid w:val="00721DB6"/>
    <w:rsid w:val="00844607"/>
    <w:rsid w:val="008921F6"/>
    <w:rsid w:val="00A232A3"/>
    <w:rsid w:val="00A71CA1"/>
    <w:rsid w:val="00AB0FC0"/>
    <w:rsid w:val="00AD208A"/>
    <w:rsid w:val="00AF78AE"/>
    <w:rsid w:val="00B35D4B"/>
    <w:rsid w:val="00B4634E"/>
    <w:rsid w:val="00C1322D"/>
    <w:rsid w:val="00C34135"/>
    <w:rsid w:val="00C65278"/>
    <w:rsid w:val="00C65520"/>
    <w:rsid w:val="00C87CBE"/>
    <w:rsid w:val="00C9616C"/>
    <w:rsid w:val="00D51499"/>
    <w:rsid w:val="00D53F17"/>
    <w:rsid w:val="00D624AA"/>
    <w:rsid w:val="00DA5AC8"/>
    <w:rsid w:val="00E06A5C"/>
    <w:rsid w:val="00F4260C"/>
    <w:rsid w:val="00F46044"/>
    <w:rsid w:val="00F9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ABB0"/>
  <w15:chartTrackingRefBased/>
  <w15:docId w15:val="{1DF49102-BF87-44F5-BD0A-8821B927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C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C58EC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632D3F"/>
    <w:rPr>
      <w:color w:val="0563C1" w:themeColor="hyperlink"/>
      <w:u w:val="single"/>
    </w:rPr>
  </w:style>
  <w:style w:type="character" w:customStyle="1" w:styleId="date-author2">
    <w:name w:val="date-author2"/>
    <w:basedOn w:val="Standaardalinea-lettertype"/>
    <w:rsid w:val="00A71CA1"/>
    <w:rPr>
      <w:vanish w:val="0"/>
      <w:webHidden w:val="0"/>
      <w:color w:val="FF6600"/>
      <w:sz w:val="20"/>
      <w:szCs w:val="20"/>
      <w:specVanish w:val="0"/>
    </w:rPr>
  </w:style>
  <w:style w:type="character" w:styleId="Nadruk">
    <w:name w:val="Emphasis"/>
    <w:basedOn w:val="Standaardalinea-lettertype"/>
    <w:uiPriority w:val="20"/>
    <w:qFormat/>
    <w:rsid w:val="00A71CA1"/>
    <w:rPr>
      <w:i/>
      <w:iCs/>
    </w:rPr>
  </w:style>
  <w:style w:type="table" w:styleId="Tabelraster">
    <w:name w:val="Table Grid"/>
    <w:basedOn w:val="Standaardtabel"/>
    <w:uiPriority w:val="39"/>
    <w:rsid w:val="003E5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B3708"/>
    <w:pPr>
      <w:ind w:left="720"/>
      <w:contextualSpacing/>
    </w:p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0B037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0B037E"/>
    <w:rPr>
      <w:rFonts w:ascii="Times New Roman" w:hAnsi="Times New Roman" w:cs="Times New Roman"/>
      <w:sz w:val="24"/>
      <w:szCs w:val="24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5E4C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GB" w:eastAsia="en-GB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5E4CB4"/>
    <w:rPr>
      <w:rFonts w:ascii="Courier New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hyperlink" Target="mailto:catherine.stuyck@antwerpairport.aero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antwerpairport.aero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Marketing\PR\Press%20releases\2018\2017_overview%20ANR%20%20OST%20Total%20figure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EGIS-FS01\DATA\ANR\Commercial\Passengers%20DATA\2017\Monthly%20Passengers%20Traffic%20reports\STATS_ANR_5_2017%20%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>
                <a:solidFill>
                  <a:sysClr val="windowText" lastClr="000000"/>
                </a:solidFill>
              </a:rPr>
              <a:t>Passengers</a:t>
            </a:r>
            <a:r>
              <a:rPr lang="en-US" sz="1400">
                <a:solidFill>
                  <a:srgbClr val="00B050"/>
                </a:solidFill>
              </a:rPr>
              <a:t> 2017</a:t>
            </a:r>
            <a:r>
              <a:rPr lang="en-US" sz="1400">
                <a:solidFill>
                  <a:sysClr val="windowText" lastClr="000000"/>
                </a:solidFill>
              </a:rPr>
              <a:t>-</a:t>
            </a:r>
            <a:r>
              <a:rPr lang="en-US" sz="1400">
                <a:solidFill>
                  <a:schemeClr val="accent1"/>
                </a:solidFill>
              </a:rPr>
              <a:t>2016</a:t>
            </a:r>
          </a:p>
        </c:rich>
      </c:tx>
      <c:layout>
        <c:manualLayout>
          <c:xMode val="edge"/>
          <c:yMode val="edge"/>
          <c:x val="0.33383959658104001"/>
          <c:y val="7.247982891027509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8953326945656199"/>
          <c:y val="0.16673665789886999"/>
          <c:w val="0.76704212971332697"/>
          <c:h val="0.70922637377584996"/>
        </c:manualLayout>
      </c:layout>
      <c:barChart>
        <c:barDir val="col"/>
        <c:grouping val="clustered"/>
        <c:varyColors val="0"/>
        <c:ser>
          <c:idx val="0"/>
          <c:order val="0"/>
          <c:tx>
            <c:v>2017</c:v>
          </c:tx>
          <c:spPr>
            <a:solidFill>
              <a:srgbClr val="00B050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[1]PAX!$B$8:$M$8</c:f>
              <c:numCache>
                <c:formatCode>General</c:formatCode>
                <c:ptCount val="12"/>
                <c:pt idx="0">
                  <c:v>16808</c:v>
                </c:pt>
                <c:pt idx="1">
                  <c:v>17128</c:v>
                </c:pt>
                <c:pt idx="2">
                  <c:v>21608</c:v>
                </c:pt>
                <c:pt idx="3">
                  <c:v>24636</c:v>
                </c:pt>
                <c:pt idx="4">
                  <c:v>25762</c:v>
                </c:pt>
                <c:pt idx="5">
                  <c:v>25732</c:v>
                </c:pt>
                <c:pt idx="6">
                  <c:v>26873</c:v>
                </c:pt>
                <c:pt idx="7">
                  <c:v>27562</c:v>
                </c:pt>
                <c:pt idx="8">
                  <c:v>27758</c:v>
                </c:pt>
                <c:pt idx="9">
                  <c:v>24833</c:v>
                </c:pt>
                <c:pt idx="10">
                  <c:v>17373</c:v>
                </c:pt>
                <c:pt idx="11">
                  <c:v>17094</c:v>
                </c:pt>
              </c:numCache>
            </c:numRef>
          </c:val>
        </c:ser>
        <c:ser>
          <c:idx val="1"/>
          <c:order val="1"/>
          <c:tx>
            <c:v>2016</c:v>
          </c:tx>
          <c:spPr>
            <a:solidFill>
              <a:schemeClr val="accent1"/>
            </a:solidFill>
          </c:spPr>
          <c:invertIfNegative val="0"/>
          <c:cat>
            <c:numRef>
              <c:f>[1]PAX!$B$6:$M$6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</c:numCache>
            </c:numRef>
          </c:cat>
          <c:val>
            <c:numRef>
              <c:f>[1]PAX!$B$9:$M$9</c:f>
              <c:numCache>
                <c:formatCode>General</c:formatCode>
                <c:ptCount val="12"/>
                <c:pt idx="0">
                  <c:v>17237</c:v>
                </c:pt>
                <c:pt idx="1">
                  <c:v>19106</c:v>
                </c:pt>
                <c:pt idx="2">
                  <c:v>31201</c:v>
                </c:pt>
                <c:pt idx="3">
                  <c:v>33576</c:v>
                </c:pt>
                <c:pt idx="4">
                  <c:v>28130</c:v>
                </c:pt>
                <c:pt idx="5">
                  <c:v>24817</c:v>
                </c:pt>
                <c:pt idx="6">
                  <c:v>22129</c:v>
                </c:pt>
                <c:pt idx="7">
                  <c:v>21812</c:v>
                </c:pt>
                <c:pt idx="8">
                  <c:v>24248</c:v>
                </c:pt>
                <c:pt idx="9">
                  <c:v>21242</c:v>
                </c:pt>
                <c:pt idx="10">
                  <c:v>17229</c:v>
                </c:pt>
                <c:pt idx="11">
                  <c:v>15584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874320"/>
        <c:axId val="57875104"/>
      </c:barChart>
      <c:catAx>
        <c:axId val="578743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nl-BE"/>
          </a:p>
        </c:txPr>
        <c:crossAx val="57875104"/>
        <c:crosses val="autoZero"/>
        <c:auto val="1"/>
        <c:lblAlgn val="ctr"/>
        <c:lblOffset val="100"/>
        <c:noMultiLvlLbl val="0"/>
      </c:catAx>
      <c:valAx>
        <c:axId val="578751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8743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400"/>
              <a:t>Passengers 1990 - 2017</a:t>
            </a:r>
          </a:p>
        </c:rich>
      </c:tx>
      <c:layout>
        <c:manualLayout>
          <c:xMode val="edge"/>
          <c:yMode val="edge"/>
          <c:x val="0.26320460795642903"/>
          <c:y val="8.5039370078740205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9094111409862"/>
          <c:y val="0.133899585132504"/>
          <c:w val="0.88972689818336204"/>
          <c:h val="0.72760682824230505"/>
        </c:manualLayout>
      </c:layout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PAX!$A$8:$A$35</c:f>
              <c:numCache>
                <c:formatCode>General</c:formatCode>
                <c:ptCount val="28"/>
                <c:pt idx="0">
                  <c:v>2017</c:v>
                </c:pt>
                <c:pt idx="1">
                  <c:v>2016</c:v>
                </c:pt>
                <c:pt idx="2">
                  <c:v>2015</c:v>
                </c:pt>
                <c:pt idx="3">
                  <c:v>2014</c:v>
                </c:pt>
                <c:pt idx="4">
                  <c:v>2013</c:v>
                </c:pt>
                <c:pt idx="5">
                  <c:v>2012</c:v>
                </c:pt>
                <c:pt idx="6">
                  <c:v>2011</c:v>
                </c:pt>
                <c:pt idx="7">
                  <c:v>2010</c:v>
                </c:pt>
                <c:pt idx="8">
                  <c:v>2009</c:v>
                </c:pt>
                <c:pt idx="9">
                  <c:v>2008</c:v>
                </c:pt>
                <c:pt idx="10">
                  <c:v>2007</c:v>
                </c:pt>
                <c:pt idx="11">
                  <c:v>2006</c:v>
                </c:pt>
                <c:pt idx="12">
                  <c:v>2005</c:v>
                </c:pt>
                <c:pt idx="13">
                  <c:v>2004</c:v>
                </c:pt>
                <c:pt idx="14">
                  <c:v>2003</c:v>
                </c:pt>
                <c:pt idx="15">
                  <c:v>2002</c:v>
                </c:pt>
                <c:pt idx="16">
                  <c:v>2001</c:v>
                </c:pt>
                <c:pt idx="17">
                  <c:v>2000</c:v>
                </c:pt>
                <c:pt idx="18">
                  <c:v>1999</c:v>
                </c:pt>
                <c:pt idx="19">
                  <c:v>1998</c:v>
                </c:pt>
                <c:pt idx="20">
                  <c:v>1997</c:v>
                </c:pt>
                <c:pt idx="21">
                  <c:v>1996</c:v>
                </c:pt>
                <c:pt idx="22">
                  <c:v>1995</c:v>
                </c:pt>
                <c:pt idx="23">
                  <c:v>1994</c:v>
                </c:pt>
                <c:pt idx="24">
                  <c:v>1993</c:v>
                </c:pt>
                <c:pt idx="25">
                  <c:v>1992</c:v>
                </c:pt>
                <c:pt idx="26">
                  <c:v>1991</c:v>
                </c:pt>
                <c:pt idx="27">
                  <c:v>1990</c:v>
                </c:pt>
              </c:numCache>
            </c:numRef>
          </c:cat>
          <c:val>
            <c:numRef>
              <c:f>PAX!$O$8:$O$35</c:f>
              <c:numCache>
                <c:formatCode>#,##0</c:formatCode>
                <c:ptCount val="28"/>
                <c:pt idx="0">
                  <c:v>273167</c:v>
                </c:pt>
                <c:pt idx="1">
                  <c:v>276311</c:v>
                </c:pt>
                <c:pt idx="2">
                  <c:v>221155</c:v>
                </c:pt>
                <c:pt idx="3">
                  <c:v>121357</c:v>
                </c:pt>
                <c:pt idx="4">
                  <c:v>137015</c:v>
                </c:pt>
                <c:pt idx="5">
                  <c:v>140139</c:v>
                </c:pt>
                <c:pt idx="6">
                  <c:v>166078</c:v>
                </c:pt>
                <c:pt idx="7">
                  <c:v>162840</c:v>
                </c:pt>
                <c:pt idx="8">
                  <c:v>169446</c:v>
                </c:pt>
                <c:pt idx="9">
                  <c:v>176971</c:v>
                </c:pt>
                <c:pt idx="10">
                  <c:v>174858</c:v>
                </c:pt>
                <c:pt idx="11">
                  <c:v>147849</c:v>
                </c:pt>
                <c:pt idx="12">
                  <c:v>142737</c:v>
                </c:pt>
                <c:pt idx="13">
                  <c:v>152682</c:v>
                </c:pt>
                <c:pt idx="14">
                  <c:v>168283</c:v>
                </c:pt>
                <c:pt idx="15">
                  <c:v>190362</c:v>
                </c:pt>
                <c:pt idx="16">
                  <c:v>273208</c:v>
                </c:pt>
                <c:pt idx="17">
                  <c:v>261576</c:v>
                </c:pt>
                <c:pt idx="18">
                  <c:v>231113</c:v>
                </c:pt>
                <c:pt idx="19">
                  <c:v>221523</c:v>
                </c:pt>
                <c:pt idx="20">
                  <c:v>257887</c:v>
                </c:pt>
                <c:pt idx="21">
                  <c:v>272989</c:v>
                </c:pt>
                <c:pt idx="22">
                  <c:v>260966</c:v>
                </c:pt>
                <c:pt idx="23">
                  <c:v>252908</c:v>
                </c:pt>
                <c:pt idx="24">
                  <c:v>212970</c:v>
                </c:pt>
                <c:pt idx="25">
                  <c:v>181419</c:v>
                </c:pt>
                <c:pt idx="26">
                  <c:v>149418</c:v>
                </c:pt>
                <c:pt idx="27">
                  <c:v>163969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710336440"/>
        <c:axId val="710332912"/>
      </c:lineChart>
      <c:dateAx>
        <c:axId val="710336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3420000" vert="horz"/>
          <a:lstStyle/>
          <a:p>
            <a:pPr>
              <a:defRPr sz="700"/>
            </a:pPr>
            <a:endParaRPr lang="nl-BE"/>
          </a:p>
        </c:txPr>
        <c:crossAx val="710332912"/>
        <c:crosses val="autoZero"/>
        <c:auto val="0"/>
        <c:lblOffset val="100"/>
        <c:baseTimeUnit val="days"/>
        <c:majorUnit val="1"/>
        <c:majorTimeUnit val="days"/>
      </c:dateAx>
      <c:valAx>
        <c:axId val="710332912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710336440"/>
        <c:crosses val="autoZero"/>
        <c:crossBetween val="between"/>
      </c:valAx>
    </c:plotArea>
    <c:plotVisOnly val="1"/>
    <c:dispBlanksAs val="span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bobadmin</dc:creator>
  <cp:keywords/>
  <dc:description/>
  <cp:lastModifiedBy>Vanessa Duyvejonck</cp:lastModifiedBy>
  <cp:revision>6</cp:revision>
  <cp:lastPrinted>2018-01-05T11:10:00Z</cp:lastPrinted>
  <dcterms:created xsi:type="dcterms:W3CDTF">2018-01-05T16:06:00Z</dcterms:created>
  <dcterms:modified xsi:type="dcterms:W3CDTF">2018-01-11T08:48:00Z</dcterms:modified>
</cp:coreProperties>
</file>